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528AB" w14:textId="46A350FF" w:rsidR="00004ACF" w:rsidRDefault="00004ACF" w:rsidP="00004ACF">
      <w:pPr>
        <w:jc w:val="left"/>
        <w:rPr>
          <w:rFonts w:ascii="Times New Roman" w:hAnsi="Times New Roman"/>
          <w:sz w:val="30"/>
          <w:szCs w:val="30"/>
        </w:rPr>
      </w:pPr>
      <w:r w:rsidRPr="00594EB1">
        <w:rPr>
          <w:rFonts w:ascii="Times New Roman" w:hAnsi="Times New Roman"/>
          <w:sz w:val="30"/>
          <w:szCs w:val="30"/>
        </w:rPr>
        <w:t>附件</w:t>
      </w:r>
      <w:r>
        <w:rPr>
          <w:rFonts w:ascii="Times New Roman" w:hAnsi="Times New Roman"/>
          <w:sz w:val="30"/>
          <w:szCs w:val="30"/>
        </w:rPr>
        <w:t>1</w:t>
      </w:r>
      <w:r w:rsidRPr="00594EB1">
        <w:rPr>
          <w:rFonts w:ascii="Times New Roman" w:hAnsi="Times New Roman" w:hint="eastAsia"/>
          <w:sz w:val="30"/>
          <w:szCs w:val="30"/>
        </w:rPr>
        <w:t>：</w:t>
      </w:r>
    </w:p>
    <w:p w14:paraId="43A4504A" w14:textId="198B3E2C" w:rsidR="00004ACF" w:rsidRPr="00DB3A5B" w:rsidRDefault="00004ACF" w:rsidP="00DB3A5B">
      <w:pPr>
        <w:spacing w:afterLines="50" w:after="120" w:line="440" w:lineRule="exact"/>
        <w:jc w:val="center"/>
        <w:rPr>
          <w:rFonts w:ascii="宋体" w:hAnsi="宋体"/>
          <w:b/>
          <w:sz w:val="40"/>
          <w:szCs w:val="44"/>
        </w:rPr>
      </w:pPr>
      <w:r>
        <w:rPr>
          <w:rFonts w:ascii="宋体" w:hAnsi="宋体" w:hint="eastAsia"/>
          <w:b/>
          <w:sz w:val="40"/>
          <w:szCs w:val="44"/>
        </w:rPr>
        <w:t>中国无线电协会</w:t>
      </w:r>
      <w:r w:rsidR="00C819FE">
        <w:rPr>
          <w:rFonts w:ascii="宋体" w:hAnsi="宋体" w:hint="eastAsia"/>
          <w:b/>
          <w:sz w:val="40"/>
          <w:szCs w:val="44"/>
        </w:rPr>
        <w:t>6项</w:t>
      </w:r>
      <w:r>
        <w:rPr>
          <w:rFonts w:ascii="宋体" w:hAnsi="宋体" w:hint="eastAsia"/>
          <w:b/>
          <w:sz w:val="40"/>
          <w:szCs w:val="44"/>
        </w:rPr>
        <w:t>团体标准预订单回执</w:t>
      </w:r>
    </w:p>
    <w:p w14:paraId="1C95FEFC" w14:textId="77777777" w:rsidR="00892A42" w:rsidRDefault="00892A42" w:rsidP="00E64DC3">
      <w:pPr>
        <w:jc w:val="left"/>
        <w:rPr>
          <w:rFonts w:ascii="Times New Roman" w:hAnsi="Times New Roman"/>
          <w:sz w:val="30"/>
          <w:szCs w:val="30"/>
        </w:rPr>
      </w:pPr>
    </w:p>
    <w:tbl>
      <w:tblPr>
        <w:tblW w:w="13457" w:type="dxa"/>
        <w:tblLook w:val="04A0" w:firstRow="1" w:lastRow="0" w:firstColumn="1" w:lastColumn="0" w:noHBand="0" w:noVBand="1"/>
      </w:tblPr>
      <w:tblGrid>
        <w:gridCol w:w="720"/>
        <w:gridCol w:w="1538"/>
        <w:gridCol w:w="2342"/>
        <w:gridCol w:w="7723"/>
        <w:gridCol w:w="1134"/>
      </w:tblGrid>
      <w:tr w:rsidR="004F42D0" w:rsidRPr="003F4EB8" w14:paraId="77451834" w14:textId="77777777" w:rsidTr="004F42D0">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3FC21C09" w14:textId="77777777" w:rsidR="004F42D0" w:rsidRPr="003F4EB8" w:rsidRDefault="004F42D0" w:rsidP="00361AA1">
            <w:pPr>
              <w:widowControl/>
              <w:jc w:val="center"/>
              <w:rPr>
                <w:rFonts w:ascii="宋体" w:hAnsi="宋体" w:cs="宋体"/>
                <w:kern w:val="0"/>
                <w:szCs w:val="21"/>
              </w:rPr>
            </w:pPr>
            <w:r w:rsidRPr="003F4EB8">
              <w:rPr>
                <w:rFonts w:ascii="宋体" w:hAnsi="宋体" w:cs="宋体" w:hint="eastAsia"/>
                <w:kern w:val="0"/>
                <w:szCs w:val="21"/>
              </w:rPr>
              <w:t>序号</w:t>
            </w:r>
          </w:p>
        </w:tc>
        <w:tc>
          <w:tcPr>
            <w:tcW w:w="1538" w:type="dxa"/>
            <w:tcBorders>
              <w:top w:val="single" w:sz="8" w:space="0" w:color="auto"/>
              <w:left w:val="nil"/>
              <w:bottom w:val="single" w:sz="8" w:space="0" w:color="auto"/>
              <w:right w:val="nil"/>
            </w:tcBorders>
            <w:shd w:val="clear" w:color="auto" w:fill="auto"/>
            <w:vAlign w:val="center"/>
            <w:hideMark/>
          </w:tcPr>
          <w:p w14:paraId="14BA5213" w14:textId="766687DC" w:rsidR="004F42D0" w:rsidRPr="003F4EB8" w:rsidRDefault="0024344D" w:rsidP="00361AA1">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预订</w:t>
            </w:r>
            <w:r w:rsidR="004F42D0" w:rsidRPr="003F4EB8">
              <w:rPr>
                <w:rFonts w:ascii="仿宋_GB2312" w:eastAsia="仿宋_GB2312" w:hAnsi="宋体" w:cs="宋体" w:hint="eastAsia"/>
                <w:kern w:val="0"/>
                <w:szCs w:val="21"/>
              </w:rPr>
              <w:t>标准编号</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4AEB5D59" w14:textId="77777777" w:rsidR="004F42D0" w:rsidRPr="003F4EB8" w:rsidRDefault="004F42D0" w:rsidP="00361AA1">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标准名称</w:t>
            </w:r>
          </w:p>
        </w:tc>
        <w:tc>
          <w:tcPr>
            <w:tcW w:w="7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68ECE2" w14:textId="77777777" w:rsidR="004F42D0" w:rsidRPr="003F4EB8" w:rsidRDefault="004F42D0" w:rsidP="00361AA1">
            <w:pPr>
              <w:widowControl/>
              <w:jc w:val="center"/>
              <w:rPr>
                <w:rFonts w:ascii="仿宋_GB2312" w:eastAsia="仿宋_GB2312" w:hAnsi="宋体" w:cs="宋体"/>
                <w:kern w:val="0"/>
                <w:szCs w:val="21"/>
              </w:rPr>
            </w:pPr>
            <w:r w:rsidRPr="003F4EB8">
              <w:rPr>
                <w:rFonts w:ascii="仿宋_GB2312" w:eastAsia="仿宋_GB2312" w:hAnsi="宋体" w:cs="宋体" w:hint="eastAsia"/>
                <w:kern w:val="0"/>
                <w:szCs w:val="21"/>
              </w:rPr>
              <w:t>主要内容</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8EDD65B" w14:textId="19AFCB4D" w:rsidR="004F42D0" w:rsidRPr="003F4EB8" w:rsidRDefault="0024344D" w:rsidP="00361AA1">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预订</w:t>
            </w:r>
            <w:r w:rsidR="004F42D0" w:rsidRPr="003F4EB8">
              <w:rPr>
                <w:rFonts w:ascii="仿宋_GB2312" w:eastAsia="仿宋_GB2312" w:hAnsi="宋体" w:cs="宋体" w:hint="eastAsia"/>
                <w:kern w:val="0"/>
                <w:szCs w:val="21"/>
              </w:rPr>
              <w:t>数量（册）</w:t>
            </w:r>
          </w:p>
        </w:tc>
      </w:tr>
      <w:tr w:rsidR="002768B2" w:rsidRPr="00450519" w14:paraId="4FD77FC8" w14:textId="77777777" w:rsidTr="004F42D0">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30BE771B" w14:textId="77777777" w:rsidR="002768B2" w:rsidRPr="00C14D22" w:rsidRDefault="002768B2" w:rsidP="002768B2">
            <w:pPr>
              <w:widowControl/>
              <w:jc w:val="center"/>
              <w:rPr>
                <w:rFonts w:ascii="宋体" w:hAnsi="宋体" w:cs="宋体"/>
                <w:kern w:val="0"/>
                <w:szCs w:val="21"/>
              </w:rPr>
            </w:pPr>
            <w:r w:rsidRPr="00C14D22">
              <w:rPr>
                <w:rFonts w:ascii="宋体" w:hAnsi="宋体" w:cs="宋体"/>
                <w:kern w:val="0"/>
                <w:szCs w:val="21"/>
              </w:rPr>
              <w:t>1</w:t>
            </w:r>
          </w:p>
        </w:tc>
        <w:tc>
          <w:tcPr>
            <w:tcW w:w="1538" w:type="dxa"/>
            <w:tcBorders>
              <w:top w:val="single" w:sz="8" w:space="0" w:color="auto"/>
              <w:left w:val="nil"/>
              <w:bottom w:val="single" w:sz="8" w:space="0" w:color="auto"/>
              <w:right w:val="nil"/>
            </w:tcBorders>
            <w:shd w:val="clear" w:color="auto" w:fill="auto"/>
            <w:vAlign w:val="center"/>
            <w:hideMark/>
          </w:tcPr>
          <w:p w14:paraId="15EC1629" w14:textId="1E047054" w:rsidR="002768B2" w:rsidRPr="00C14D22" w:rsidRDefault="002768B2" w:rsidP="002768B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w:t>
            </w:r>
            <w:r>
              <w:rPr>
                <w:rFonts w:ascii="仿宋_GB2312" w:eastAsia="仿宋_GB2312" w:hAnsi="宋体" w:cs="宋体"/>
                <w:kern w:val="0"/>
                <w:szCs w:val="21"/>
              </w:rPr>
              <w:t>16</w:t>
            </w:r>
            <w:r w:rsidRPr="00C14D22">
              <w:rPr>
                <w:rFonts w:ascii="仿宋_GB2312" w:eastAsia="仿宋_GB2312" w:hAnsi="宋体" w:cs="宋体"/>
                <w:kern w:val="0"/>
                <w:szCs w:val="21"/>
              </w:rPr>
              <w:t>-201</w:t>
            </w:r>
            <w:r>
              <w:rPr>
                <w:rFonts w:ascii="仿宋_GB2312" w:eastAsia="仿宋_GB2312" w:hAnsi="宋体" w:cs="宋体"/>
                <w:kern w:val="0"/>
                <w:szCs w:val="21"/>
              </w:rPr>
              <w:t>9</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1D1AE416" w14:textId="022D6525" w:rsidR="002768B2" w:rsidRPr="00C14D22" w:rsidRDefault="002768B2" w:rsidP="005414A4">
            <w:pPr>
              <w:widowControl/>
              <w:jc w:val="left"/>
              <w:rPr>
                <w:rFonts w:ascii="仿宋_GB2312" w:eastAsia="仿宋_GB2312" w:hAnsi="宋体" w:cs="宋体"/>
                <w:kern w:val="0"/>
                <w:szCs w:val="21"/>
              </w:rPr>
            </w:pPr>
            <w:r w:rsidRPr="00450519">
              <w:rPr>
                <w:rFonts w:ascii="仿宋_GB2312" w:eastAsia="仿宋_GB2312" w:hAnsi="宋体" w:cs="宋体" w:hint="eastAsia"/>
                <w:kern w:val="0"/>
                <w:szCs w:val="21"/>
              </w:rPr>
              <w:t>无线电管理数据结构规范</w:t>
            </w:r>
            <w:r w:rsidRPr="00450519">
              <w:rPr>
                <w:rFonts w:ascii="仿宋_GB2312" w:eastAsia="仿宋_GB2312" w:hAnsi="宋体" w:cs="宋体"/>
                <w:kern w:val="0"/>
                <w:szCs w:val="21"/>
              </w:rPr>
              <w:t xml:space="preserve"> 超短波频段监测基础数据存储部分</w:t>
            </w:r>
          </w:p>
        </w:tc>
        <w:tc>
          <w:tcPr>
            <w:tcW w:w="7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ACD485" w14:textId="3C2C2504" w:rsidR="002768B2" w:rsidRPr="00C14D22" w:rsidRDefault="002768B2" w:rsidP="00450519">
            <w:pPr>
              <w:widowControl/>
              <w:jc w:val="left"/>
              <w:rPr>
                <w:rFonts w:ascii="仿宋_GB2312" w:eastAsia="仿宋_GB2312" w:hAnsi="宋体" w:cs="宋体"/>
                <w:kern w:val="0"/>
                <w:szCs w:val="21"/>
              </w:rPr>
            </w:pPr>
            <w:r w:rsidRPr="00450519">
              <w:rPr>
                <w:rFonts w:ascii="仿宋_GB2312" w:eastAsia="仿宋_GB2312" w:hAnsi="宋体" w:cs="宋体" w:hint="eastAsia"/>
                <w:kern w:val="0"/>
                <w:szCs w:val="21"/>
              </w:rPr>
              <w:t>本规范规定了超短波频段监测基础数据存储的格式和方法，包括总体架构设计、数据存储模型、数据索引表、数据文件命名方法等内容，并详细定义了16种监测基础数据的帧结构和数据类型。适用于我国无线电管理监测系统的开发、建设、运行、维护与数据服务，是超短波监测业务一体化平台和监测数据统一管理的基础。</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F07F88F" w14:textId="074F7B31" w:rsidR="002768B2" w:rsidRPr="00C14D22" w:rsidRDefault="002768B2" w:rsidP="002768B2">
            <w:pPr>
              <w:widowControl/>
              <w:jc w:val="center"/>
              <w:rPr>
                <w:rFonts w:ascii="仿宋_GB2312" w:eastAsia="仿宋_GB2312" w:hAnsi="宋体" w:cs="宋体"/>
                <w:kern w:val="0"/>
                <w:szCs w:val="21"/>
              </w:rPr>
            </w:pPr>
          </w:p>
        </w:tc>
      </w:tr>
      <w:tr w:rsidR="002768B2" w:rsidRPr="00450519" w14:paraId="4F4FCD24" w14:textId="77777777" w:rsidTr="004F42D0">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194E02D6" w14:textId="77777777" w:rsidR="002768B2" w:rsidRPr="00C14D22" w:rsidRDefault="002768B2" w:rsidP="002768B2">
            <w:pPr>
              <w:widowControl/>
              <w:jc w:val="center"/>
              <w:rPr>
                <w:rFonts w:ascii="宋体" w:hAnsi="宋体" w:cs="宋体"/>
                <w:kern w:val="0"/>
                <w:szCs w:val="21"/>
              </w:rPr>
            </w:pPr>
            <w:r w:rsidRPr="00C14D22">
              <w:rPr>
                <w:rFonts w:ascii="宋体" w:hAnsi="宋体" w:cs="宋体"/>
                <w:kern w:val="0"/>
                <w:szCs w:val="21"/>
              </w:rPr>
              <w:t>2</w:t>
            </w:r>
          </w:p>
        </w:tc>
        <w:tc>
          <w:tcPr>
            <w:tcW w:w="1538" w:type="dxa"/>
            <w:tcBorders>
              <w:top w:val="single" w:sz="8" w:space="0" w:color="auto"/>
              <w:left w:val="nil"/>
              <w:bottom w:val="single" w:sz="8" w:space="0" w:color="auto"/>
              <w:right w:val="nil"/>
            </w:tcBorders>
            <w:shd w:val="clear" w:color="auto" w:fill="auto"/>
            <w:vAlign w:val="center"/>
            <w:hideMark/>
          </w:tcPr>
          <w:p w14:paraId="60CF83C9" w14:textId="15D3CA20" w:rsidR="002768B2" w:rsidRPr="00C14D22" w:rsidRDefault="002768B2" w:rsidP="002768B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w:t>
            </w:r>
            <w:r>
              <w:rPr>
                <w:rFonts w:ascii="仿宋_GB2312" w:eastAsia="仿宋_GB2312" w:hAnsi="宋体" w:cs="宋体"/>
                <w:kern w:val="0"/>
                <w:szCs w:val="21"/>
              </w:rPr>
              <w:t>17</w:t>
            </w:r>
            <w:r w:rsidRPr="00C14D22">
              <w:rPr>
                <w:rFonts w:ascii="仿宋_GB2312" w:eastAsia="仿宋_GB2312" w:hAnsi="宋体" w:cs="宋体"/>
                <w:kern w:val="0"/>
                <w:szCs w:val="21"/>
              </w:rPr>
              <w:t>-201</w:t>
            </w:r>
            <w:r>
              <w:rPr>
                <w:rFonts w:ascii="仿宋_GB2312" w:eastAsia="仿宋_GB2312" w:hAnsi="宋体" w:cs="宋体"/>
                <w:kern w:val="0"/>
                <w:szCs w:val="21"/>
              </w:rPr>
              <w:t>9</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13FFB121" w14:textId="3BC68A33" w:rsidR="002768B2" w:rsidRPr="00C14D22" w:rsidRDefault="002768B2" w:rsidP="005414A4">
            <w:pPr>
              <w:widowControl/>
              <w:jc w:val="left"/>
              <w:rPr>
                <w:rFonts w:ascii="仿宋_GB2312" w:eastAsia="仿宋_GB2312" w:hAnsi="宋体" w:cs="宋体"/>
                <w:kern w:val="0"/>
                <w:szCs w:val="21"/>
              </w:rPr>
            </w:pPr>
            <w:r w:rsidRPr="00450519">
              <w:rPr>
                <w:rFonts w:ascii="仿宋_GB2312" w:eastAsia="仿宋_GB2312" w:hAnsi="宋体" w:cs="宋体" w:hint="eastAsia"/>
                <w:kern w:val="0"/>
                <w:szCs w:val="21"/>
              </w:rPr>
              <w:t>无线电监测图例规范</w:t>
            </w:r>
          </w:p>
        </w:tc>
        <w:tc>
          <w:tcPr>
            <w:tcW w:w="7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3B032C" w14:textId="61068BE5" w:rsidR="002768B2" w:rsidRPr="00C14D22" w:rsidRDefault="002768B2" w:rsidP="00450519">
            <w:pPr>
              <w:widowControl/>
              <w:jc w:val="left"/>
              <w:rPr>
                <w:rFonts w:ascii="仿宋_GB2312" w:eastAsia="仿宋_GB2312" w:hAnsi="宋体" w:cs="宋体"/>
                <w:kern w:val="0"/>
                <w:szCs w:val="21"/>
              </w:rPr>
            </w:pPr>
            <w:r w:rsidRPr="00450519">
              <w:rPr>
                <w:rFonts w:ascii="仿宋_GB2312" w:eastAsia="仿宋_GB2312" w:hAnsi="宋体" w:cs="宋体" w:hint="eastAsia"/>
                <w:kern w:val="0"/>
                <w:szCs w:val="21"/>
              </w:rPr>
              <w:t>本规范</w:t>
            </w:r>
            <w:r w:rsidRPr="00450519">
              <w:rPr>
                <w:rFonts w:ascii="仿宋_GB2312" w:eastAsia="仿宋_GB2312" w:hAnsi="宋体" w:cs="宋体"/>
                <w:kern w:val="0"/>
                <w:szCs w:val="21"/>
              </w:rPr>
              <w:t>规定的无线电监测图例覆盖超短波、</w:t>
            </w:r>
            <w:r w:rsidRPr="00450519">
              <w:rPr>
                <w:rFonts w:ascii="仿宋_GB2312" w:eastAsia="仿宋_GB2312" w:hAnsi="宋体" w:cs="宋体" w:hint="eastAsia"/>
                <w:kern w:val="0"/>
                <w:szCs w:val="21"/>
              </w:rPr>
              <w:t>短波</w:t>
            </w:r>
            <w:r w:rsidRPr="00450519">
              <w:rPr>
                <w:rFonts w:ascii="仿宋_GB2312" w:eastAsia="仿宋_GB2312" w:hAnsi="宋体" w:cs="宋体"/>
                <w:kern w:val="0"/>
                <w:szCs w:val="21"/>
              </w:rPr>
              <w:t>和卫星频段，包括固定监测</w:t>
            </w:r>
            <w:r w:rsidRPr="00450519">
              <w:rPr>
                <w:rFonts w:ascii="仿宋_GB2312" w:eastAsia="仿宋_GB2312" w:hAnsi="宋体" w:cs="宋体" w:hint="eastAsia"/>
                <w:kern w:val="0"/>
                <w:szCs w:val="21"/>
              </w:rPr>
              <w:t>站</w:t>
            </w:r>
            <w:r w:rsidRPr="00450519">
              <w:rPr>
                <w:rFonts w:ascii="仿宋_GB2312" w:eastAsia="仿宋_GB2312" w:hAnsi="宋体" w:cs="宋体"/>
                <w:kern w:val="0"/>
                <w:szCs w:val="21"/>
              </w:rPr>
              <w:t>、移动监测站和可搬移监测站，以及压制系统和指挥控制中心，并根据监测站功能不同区分监测、测向或定位。本</w:t>
            </w:r>
            <w:r w:rsidRPr="00450519">
              <w:rPr>
                <w:rFonts w:ascii="仿宋_GB2312" w:eastAsia="仿宋_GB2312" w:hAnsi="宋体" w:cs="宋体" w:hint="eastAsia"/>
                <w:kern w:val="0"/>
                <w:szCs w:val="21"/>
              </w:rPr>
              <w:t>规范</w:t>
            </w:r>
            <w:r w:rsidRPr="00450519">
              <w:rPr>
                <w:rFonts w:ascii="仿宋_GB2312" w:eastAsia="仿宋_GB2312" w:hAnsi="宋体" w:cs="宋体"/>
                <w:kern w:val="0"/>
                <w:szCs w:val="21"/>
              </w:rPr>
              <w:t>根据实际工作需要，对超短波频段固定监测站和可搬移监测站区分监测和测向，并默认测向站同时具备监测</w:t>
            </w:r>
            <w:r w:rsidRPr="00450519">
              <w:rPr>
                <w:rFonts w:ascii="仿宋_GB2312" w:eastAsia="仿宋_GB2312" w:hAnsi="宋体" w:cs="宋体" w:hint="eastAsia"/>
                <w:kern w:val="0"/>
                <w:szCs w:val="21"/>
              </w:rPr>
              <w:t>功能</w:t>
            </w:r>
            <w:r w:rsidRPr="00450519">
              <w:rPr>
                <w:rFonts w:ascii="仿宋_GB2312" w:eastAsia="仿宋_GB2312" w:hAnsi="宋体" w:cs="宋体"/>
                <w:kern w:val="0"/>
                <w:szCs w:val="21"/>
              </w:rPr>
              <w:t>，短波和卫星频段未</w:t>
            </w:r>
            <w:r w:rsidRPr="00450519">
              <w:rPr>
                <w:rFonts w:ascii="仿宋_GB2312" w:eastAsia="仿宋_GB2312" w:hAnsi="宋体" w:cs="宋体" w:hint="eastAsia"/>
                <w:kern w:val="0"/>
                <w:szCs w:val="21"/>
              </w:rPr>
              <w:t>作此区分</w:t>
            </w:r>
            <w:r w:rsidRPr="00450519">
              <w:rPr>
                <w:rFonts w:ascii="仿宋_GB2312" w:eastAsia="仿宋_GB2312" w:hAnsi="宋体" w:cs="宋体"/>
                <w:kern w:val="0"/>
                <w:szCs w:val="21"/>
              </w:rPr>
              <w:t>。</w:t>
            </w:r>
            <w:r w:rsidRPr="00450519">
              <w:rPr>
                <w:rFonts w:ascii="仿宋_GB2312" w:eastAsia="仿宋_GB2312" w:hAnsi="宋体" w:cs="宋体" w:hint="eastAsia"/>
                <w:kern w:val="0"/>
                <w:szCs w:val="21"/>
              </w:rPr>
              <w:t>本规范</w:t>
            </w:r>
            <w:r w:rsidRPr="00450519">
              <w:rPr>
                <w:rFonts w:ascii="仿宋_GB2312" w:eastAsia="仿宋_GB2312" w:hAnsi="宋体" w:cs="宋体"/>
                <w:kern w:val="0"/>
                <w:szCs w:val="21"/>
              </w:rPr>
              <w:t>规定的无线电监测图例</w:t>
            </w:r>
            <w:r w:rsidRPr="00450519">
              <w:rPr>
                <w:rFonts w:ascii="仿宋_GB2312" w:eastAsia="仿宋_GB2312" w:hAnsi="宋体" w:cs="宋体" w:hint="eastAsia"/>
                <w:kern w:val="0"/>
                <w:szCs w:val="21"/>
              </w:rPr>
              <w:t>还</w:t>
            </w:r>
            <w:r w:rsidRPr="00450519">
              <w:rPr>
                <w:rFonts w:ascii="仿宋_GB2312" w:eastAsia="仿宋_GB2312" w:hAnsi="宋体" w:cs="宋体"/>
                <w:kern w:val="0"/>
                <w:szCs w:val="21"/>
              </w:rPr>
              <w:t>包括指挥控制中心、车载压制</w:t>
            </w:r>
            <w:r w:rsidRPr="00450519">
              <w:rPr>
                <w:rFonts w:ascii="仿宋_GB2312" w:eastAsia="仿宋_GB2312" w:hAnsi="宋体" w:cs="宋体" w:hint="eastAsia"/>
                <w:kern w:val="0"/>
                <w:szCs w:val="21"/>
              </w:rPr>
              <w:t>和</w:t>
            </w:r>
            <w:r w:rsidRPr="00450519">
              <w:rPr>
                <w:rFonts w:ascii="仿宋_GB2312" w:eastAsia="仿宋_GB2312" w:hAnsi="宋体" w:cs="宋体"/>
                <w:kern w:val="0"/>
                <w:szCs w:val="21"/>
              </w:rPr>
              <w:t>可搬移压制等</w:t>
            </w:r>
            <w:r w:rsidRPr="00450519">
              <w:rPr>
                <w:rFonts w:ascii="仿宋_GB2312" w:eastAsia="仿宋_GB2312" w:hAnsi="宋体" w:cs="宋体" w:hint="eastAsia"/>
                <w:kern w:val="0"/>
                <w:szCs w:val="21"/>
              </w:rPr>
              <w:t>共计20种图例</w:t>
            </w:r>
            <w:r w:rsidRPr="00450519">
              <w:rPr>
                <w:rFonts w:ascii="仿宋_GB2312" w:eastAsia="仿宋_GB2312" w:hAnsi="宋体" w:cs="宋体"/>
                <w:kern w:val="0"/>
                <w:szCs w:val="21"/>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D3E04EC" w14:textId="6361EE01" w:rsidR="002768B2" w:rsidRPr="00C14D22" w:rsidRDefault="002768B2" w:rsidP="002768B2">
            <w:pPr>
              <w:widowControl/>
              <w:jc w:val="center"/>
              <w:rPr>
                <w:rFonts w:ascii="仿宋_GB2312" w:eastAsia="仿宋_GB2312" w:hAnsi="宋体" w:cs="宋体"/>
                <w:kern w:val="0"/>
                <w:szCs w:val="21"/>
              </w:rPr>
            </w:pPr>
          </w:p>
        </w:tc>
      </w:tr>
      <w:tr w:rsidR="002768B2" w:rsidRPr="00450519" w14:paraId="1C6EFB52" w14:textId="77777777" w:rsidTr="004F42D0">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437DBE36" w14:textId="77777777" w:rsidR="002768B2" w:rsidRPr="00C14D22" w:rsidRDefault="002768B2" w:rsidP="002768B2">
            <w:pPr>
              <w:widowControl/>
              <w:jc w:val="center"/>
              <w:rPr>
                <w:rFonts w:ascii="宋体" w:hAnsi="宋体" w:cs="宋体"/>
                <w:kern w:val="0"/>
                <w:szCs w:val="21"/>
              </w:rPr>
            </w:pPr>
            <w:r w:rsidRPr="00C14D22">
              <w:rPr>
                <w:rFonts w:ascii="宋体" w:hAnsi="宋体" w:cs="宋体"/>
                <w:kern w:val="0"/>
                <w:szCs w:val="21"/>
              </w:rPr>
              <w:t>3</w:t>
            </w:r>
          </w:p>
        </w:tc>
        <w:tc>
          <w:tcPr>
            <w:tcW w:w="1538" w:type="dxa"/>
            <w:tcBorders>
              <w:top w:val="single" w:sz="8" w:space="0" w:color="auto"/>
              <w:left w:val="nil"/>
              <w:bottom w:val="single" w:sz="8" w:space="0" w:color="auto"/>
              <w:right w:val="nil"/>
            </w:tcBorders>
            <w:shd w:val="clear" w:color="auto" w:fill="auto"/>
            <w:vAlign w:val="center"/>
            <w:hideMark/>
          </w:tcPr>
          <w:p w14:paraId="49F6F92E" w14:textId="41CAD06C" w:rsidR="002768B2" w:rsidRPr="00C14D22" w:rsidRDefault="002768B2" w:rsidP="002768B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w:t>
            </w:r>
            <w:r>
              <w:rPr>
                <w:rFonts w:ascii="仿宋_GB2312" w:eastAsia="仿宋_GB2312" w:hAnsi="宋体" w:cs="宋体"/>
                <w:kern w:val="0"/>
                <w:szCs w:val="21"/>
              </w:rPr>
              <w:t>18</w:t>
            </w:r>
            <w:r w:rsidRPr="00C14D22">
              <w:rPr>
                <w:rFonts w:ascii="仿宋_GB2312" w:eastAsia="仿宋_GB2312" w:hAnsi="宋体" w:cs="宋体"/>
                <w:kern w:val="0"/>
                <w:szCs w:val="21"/>
              </w:rPr>
              <w:t>-201</w:t>
            </w:r>
            <w:r>
              <w:rPr>
                <w:rFonts w:ascii="仿宋_GB2312" w:eastAsia="仿宋_GB2312" w:hAnsi="宋体" w:cs="宋体"/>
                <w:kern w:val="0"/>
                <w:szCs w:val="21"/>
              </w:rPr>
              <w:t>9</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22C23234" w14:textId="73A93777" w:rsidR="002768B2" w:rsidRPr="00C14D22" w:rsidRDefault="002768B2" w:rsidP="005414A4">
            <w:pPr>
              <w:widowControl/>
              <w:jc w:val="left"/>
              <w:rPr>
                <w:rFonts w:ascii="仿宋_GB2312" w:eastAsia="仿宋_GB2312" w:hAnsi="宋体" w:cs="宋体"/>
                <w:kern w:val="0"/>
                <w:szCs w:val="21"/>
              </w:rPr>
            </w:pPr>
            <w:r w:rsidRPr="00450519">
              <w:rPr>
                <w:rFonts w:ascii="仿宋_GB2312" w:eastAsia="仿宋_GB2312" w:hAnsi="宋体" w:cs="宋体" w:hint="eastAsia"/>
                <w:kern w:val="0"/>
                <w:szCs w:val="21"/>
              </w:rPr>
              <w:t>无线电监测网传输协议（</w:t>
            </w:r>
            <w:r w:rsidRPr="00450519">
              <w:rPr>
                <w:rFonts w:ascii="仿宋_GB2312" w:eastAsia="仿宋_GB2312" w:hAnsi="宋体" w:cs="宋体"/>
                <w:kern w:val="0"/>
                <w:szCs w:val="21"/>
              </w:rPr>
              <w:t>RMTP）GSM-R专项监测扩展部分</w:t>
            </w:r>
          </w:p>
        </w:tc>
        <w:tc>
          <w:tcPr>
            <w:tcW w:w="7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0CBC3A" w14:textId="38510D28" w:rsidR="002768B2" w:rsidRPr="00C14D22" w:rsidRDefault="002768B2" w:rsidP="00450519">
            <w:pPr>
              <w:widowControl/>
              <w:jc w:val="left"/>
              <w:rPr>
                <w:rFonts w:ascii="仿宋_GB2312" w:eastAsia="仿宋_GB2312" w:hAnsi="宋体" w:cs="宋体"/>
                <w:kern w:val="0"/>
                <w:szCs w:val="21"/>
              </w:rPr>
            </w:pPr>
            <w:r w:rsidRPr="00450519">
              <w:rPr>
                <w:rFonts w:ascii="仿宋_GB2312" w:eastAsia="仿宋_GB2312" w:hAnsi="宋体" w:cs="宋体" w:hint="eastAsia"/>
                <w:kern w:val="0"/>
                <w:szCs w:val="21"/>
              </w:rPr>
              <w:t>本规范规定了GSM-R专项监测在控制指令、数据传输方面的格式和方法，包括总体架构设计、数据传输模型、数据交换格式、数据类型命名方法等内容，并详细定义了7种基础监测功能和22种基础数据传输的命令格式和数据传输格式。适用于我国GSM-R专项监测系统的开发、建设、运行、维护与数据服务，是GSM-R专项监测系统数据传输及信息交换的基础。</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A17C1B5" w14:textId="7D9B9A81" w:rsidR="002768B2" w:rsidRPr="00C14D22" w:rsidRDefault="002768B2" w:rsidP="002768B2">
            <w:pPr>
              <w:widowControl/>
              <w:jc w:val="center"/>
              <w:rPr>
                <w:rFonts w:ascii="仿宋_GB2312" w:eastAsia="仿宋_GB2312" w:hAnsi="宋体" w:cs="宋体"/>
                <w:kern w:val="0"/>
                <w:szCs w:val="21"/>
              </w:rPr>
            </w:pPr>
          </w:p>
        </w:tc>
      </w:tr>
      <w:tr w:rsidR="002768B2" w:rsidRPr="00450519" w14:paraId="60C1CF9B" w14:textId="77777777" w:rsidTr="004F42D0">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68AC45F7" w14:textId="77777777" w:rsidR="002768B2" w:rsidRPr="00C14D22" w:rsidRDefault="002768B2" w:rsidP="002768B2">
            <w:pPr>
              <w:widowControl/>
              <w:jc w:val="center"/>
              <w:rPr>
                <w:rFonts w:ascii="宋体" w:hAnsi="宋体" w:cs="宋体"/>
                <w:kern w:val="0"/>
                <w:szCs w:val="21"/>
              </w:rPr>
            </w:pPr>
            <w:r w:rsidRPr="00C14D22">
              <w:rPr>
                <w:rFonts w:ascii="宋体" w:hAnsi="宋体" w:cs="宋体"/>
                <w:kern w:val="0"/>
                <w:szCs w:val="21"/>
              </w:rPr>
              <w:lastRenderedPageBreak/>
              <w:t>4</w:t>
            </w:r>
          </w:p>
        </w:tc>
        <w:tc>
          <w:tcPr>
            <w:tcW w:w="1538" w:type="dxa"/>
            <w:tcBorders>
              <w:top w:val="single" w:sz="8" w:space="0" w:color="auto"/>
              <w:left w:val="nil"/>
              <w:bottom w:val="single" w:sz="8" w:space="0" w:color="auto"/>
              <w:right w:val="nil"/>
            </w:tcBorders>
            <w:shd w:val="clear" w:color="auto" w:fill="auto"/>
            <w:vAlign w:val="center"/>
            <w:hideMark/>
          </w:tcPr>
          <w:p w14:paraId="3404F204" w14:textId="59B928D0" w:rsidR="002768B2" w:rsidRPr="00C14D22" w:rsidRDefault="002768B2" w:rsidP="002768B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w:t>
            </w:r>
            <w:r>
              <w:rPr>
                <w:rFonts w:ascii="仿宋_GB2312" w:eastAsia="仿宋_GB2312" w:hAnsi="宋体" w:cs="宋体"/>
                <w:kern w:val="0"/>
                <w:szCs w:val="21"/>
              </w:rPr>
              <w:t>19</w:t>
            </w:r>
            <w:r w:rsidRPr="00C14D22">
              <w:rPr>
                <w:rFonts w:ascii="仿宋_GB2312" w:eastAsia="仿宋_GB2312" w:hAnsi="宋体" w:cs="宋体"/>
                <w:kern w:val="0"/>
                <w:szCs w:val="21"/>
              </w:rPr>
              <w:t>-201</w:t>
            </w:r>
            <w:r>
              <w:rPr>
                <w:rFonts w:ascii="仿宋_GB2312" w:eastAsia="仿宋_GB2312" w:hAnsi="宋体" w:cs="宋体"/>
                <w:kern w:val="0"/>
                <w:szCs w:val="21"/>
              </w:rPr>
              <w:t>9</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3CC562C3" w14:textId="4F51E4E7" w:rsidR="002768B2" w:rsidRPr="00C14D22" w:rsidRDefault="002768B2" w:rsidP="005414A4">
            <w:pPr>
              <w:widowControl/>
              <w:jc w:val="left"/>
              <w:rPr>
                <w:rFonts w:ascii="仿宋_GB2312" w:eastAsia="仿宋_GB2312" w:hAnsi="宋体" w:cs="宋体"/>
                <w:kern w:val="0"/>
                <w:szCs w:val="21"/>
              </w:rPr>
            </w:pPr>
            <w:r w:rsidRPr="00450519">
              <w:rPr>
                <w:rFonts w:ascii="仿宋_GB2312" w:eastAsia="仿宋_GB2312" w:hAnsi="宋体" w:cs="宋体" w:hint="eastAsia"/>
                <w:kern w:val="0"/>
                <w:szCs w:val="21"/>
              </w:rPr>
              <w:t>业余无线电</w:t>
            </w:r>
            <w:r w:rsidRPr="00450519">
              <w:rPr>
                <w:rFonts w:ascii="仿宋_GB2312" w:eastAsia="仿宋_GB2312" w:hAnsi="宋体" w:cs="宋体"/>
                <w:kern w:val="0"/>
                <w:szCs w:val="21"/>
              </w:rPr>
              <w:t>16载频图形文字通信（CP16）</w:t>
            </w:r>
            <w:r w:rsidRPr="00450519">
              <w:rPr>
                <w:rFonts w:ascii="仿宋_GB2312" w:eastAsia="仿宋_GB2312" w:hAnsi="宋体" w:cs="宋体" w:hint="eastAsia"/>
                <w:kern w:val="0"/>
                <w:szCs w:val="21"/>
              </w:rPr>
              <w:t>技术要求</w:t>
            </w:r>
          </w:p>
        </w:tc>
        <w:tc>
          <w:tcPr>
            <w:tcW w:w="7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6AAE79" w14:textId="7FEEE7C8" w:rsidR="002768B2" w:rsidRPr="00C14D22" w:rsidRDefault="002768B2" w:rsidP="00450519">
            <w:pPr>
              <w:widowControl/>
              <w:jc w:val="left"/>
              <w:rPr>
                <w:rFonts w:ascii="仿宋_GB2312" w:eastAsia="仿宋_GB2312" w:hAnsi="宋体" w:cs="宋体"/>
                <w:kern w:val="0"/>
                <w:szCs w:val="21"/>
              </w:rPr>
            </w:pPr>
            <w:r w:rsidRPr="00450519">
              <w:rPr>
                <w:rFonts w:ascii="仿宋_GB2312" w:eastAsia="仿宋_GB2312" w:hAnsi="宋体" w:cs="宋体" w:hint="eastAsia"/>
                <w:kern w:val="0"/>
                <w:szCs w:val="21"/>
              </w:rPr>
              <w:t>本规范对</w:t>
            </w:r>
            <w:r w:rsidRPr="00450519">
              <w:rPr>
                <w:rFonts w:ascii="仿宋_GB2312" w:eastAsia="仿宋_GB2312" w:hAnsi="宋体" w:cs="宋体"/>
                <w:kern w:val="0"/>
                <w:szCs w:val="21"/>
              </w:rPr>
              <w:t>CPn</w:t>
            </w:r>
            <w:r w:rsidRPr="00450519">
              <w:rPr>
                <w:rFonts w:ascii="仿宋_GB2312" w:eastAsia="仿宋_GB2312" w:hAnsi="宋体" w:cs="宋体" w:hint="eastAsia"/>
                <w:kern w:val="0"/>
                <w:szCs w:val="21"/>
              </w:rPr>
              <w:t>多载频图形文字通信发送端的关键控制方法及各项关键参数进行规范化。</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07E8505" w14:textId="25C15A41" w:rsidR="002768B2" w:rsidRPr="00C14D22" w:rsidRDefault="002768B2" w:rsidP="002768B2">
            <w:pPr>
              <w:widowControl/>
              <w:jc w:val="center"/>
              <w:rPr>
                <w:rFonts w:ascii="仿宋_GB2312" w:eastAsia="仿宋_GB2312" w:hAnsi="宋体" w:cs="宋体"/>
                <w:kern w:val="0"/>
                <w:szCs w:val="21"/>
              </w:rPr>
            </w:pPr>
          </w:p>
        </w:tc>
      </w:tr>
      <w:tr w:rsidR="002768B2" w:rsidRPr="00450519" w14:paraId="04276BF3" w14:textId="77777777" w:rsidTr="004F42D0">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06464F65" w14:textId="77777777" w:rsidR="002768B2" w:rsidRPr="00C14D22" w:rsidRDefault="002768B2" w:rsidP="002768B2">
            <w:pPr>
              <w:widowControl/>
              <w:jc w:val="center"/>
              <w:rPr>
                <w:rFonts w:ascii="宋体" w:hAnsi="宋体" w:cs="宋体"/>
                <w:kern w:val="0"/>
                <w:szCs w:val="21"/>
              </w:rPr>
            </w:pPr>
            <w:r w:rsidRPr="00C14D22">
              <w:rPr>
                <w:rFonts w:ascii="宋体" w:hAnsi="宋体" w:cs="宋体"/>
                <w:kern w:val="0"/>
                <w:szCs w:val="21"/>
              </w:rPr>
              <w:t>5</w:t>
            </w:r>
          </w:p>
        </w:tc>
        <w:tc>
          <w:tcPr>
            <w:tcW w:w="1538" w:type="dxa"/>
            <w:tcBorders>
              <w:top w:val="single" w:sz="8" w:space="0" w:color="auto"/>
              <w:left w:val="nil"/>
              <w:bottom w:val="single" w:sz="8" w:space="0" w:color="auto"/>
              <w:right w:val="nil"/>
            </w:tcBorders>
            <w:shd w:val="clear" w:color="auto" w:fill="auto"/>
            <w:vAlign w:val="center"/>
            <w:hideMark/>
          </w:tcPr>
          <w:p w14:paraId="52608040" w14:textId="2DA5FD27" w:rsidR="002768B2" w:rsidRPr="00C14D22" w:rsidRDefault="002768B2" w:rsidP="002768B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w:t>
            </w:r>
            <w:r>
              <w:rPr>
                <w:rFonts w:ascii="仿宋_GB2312" w:eastAsia="仿宋_GB2312" w:hAnsi="宋体" w:cs="宋体"/>
                <w:kern w:val="0"/>
                <w:szCs w:val="21"/>
              </w:rPr>
              <w:t>20</w:t>
            </w:r>
            <w:r w:rsidRPr="00C14D22">
              <w:rPr>
                <w:rFonts w:ascii="仿宋_GB2312" w:eastAsia="仿宋_GB2312" w:hAnsi="宋体" w:cs="宋体"/>
                <w:kern w:val="0"/>
                <w:szCs w:val="21"/>
              </w:rPr>
              <w:t>-201</w:t>
            </w:r>
            <w:r>
              <w:rPr>
                <w:rFonts w:ascii="仿宋_GB2312" w:eastAsia="仿宋_GB2312" w:hAnsi="宋体" w:cs="宋体"/>
                <w:kern w:val="0"/>
                <w:szCs w:val="21"/>
              </w:rPr>
              <w:t>9</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5B24F7AE" w14:textId="5E33D459" w:rsidR="002768B2" w:rsidRPr="00C14D22" w:rsidRDefault="002768B2" w:rsidP="005414A4">
            <w:pPr>
              <w:widowControl/>
              <w:jc w:val="left"/>
              <w:rPr>
                <w:rFonts w:ascii="仿宋_GB2312" w:eastAsia="仿宋_GB2312" w:hAnsi="宋体" w:cs="宋体"/>
                <w:kern w:val="0"/>
                <w:szCs w:val="21"/>
              </w:rPr>
            </w:pPr>
            <w:r w:rsidRPr="00450519">
              <w:rPr>
                <w:rFonts w:ascii="仿宋_GB2312" w:eastAsia="仿宋_GB2312" w:hAnsi="宋体" w:cs="宋体" w:hint="eastAsia"/>
                <w:kern w:val="0"/>
                <w:szCs w:val="21"/>
              </w:rPr>
              <w:t>业余无线电基于汉语拼音的摩尔斯电报编码规范</w:t>
            </w:r>
          </w:p>
        </w:tc>
        <w:tc>
          <w:tcPr>
            <w:tcW w:w="7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3EC5A6" w14:textId="060048F3" w:rsidR="002768B2" w:rsidRPr="00C14D22" w:rsidRDefault="002768B2" w:rsidP="00450519">
            <w:pPr>
              <w:widowControl/>
              <w:jc w:val="left"/>
              <w:rPr>
                <w:rFonts w:ascii="仿宋_GB2312" w:eastAsia="仿宋_GB2312" w:hAnsi="宋体" w:cs="宋体"/>
                <w:kern w:val="0"/>
                <w:szCs w:val="21"/>
              </w:rPr>
            </w:pPr>
            <w:r w:rsidRPr="00450519">
              <w:rPr>
                <w:rFonts w:ascii="仿宋_GB2312" w:eastAsia="仿宋_GB2312" w:hAnsi="宋体" w:cs="宋体" w:hint="eastAsia"/>
                <w:kern w:val="0"/>
                <w:szCs w:val="21"/>
              </w:rPr>
              <w:t>本规范适用于莫尔斯码通信，也可用于某些不便于支持汉字传输的数字报文通信软件或者通信方式（如五码元RTTY）。对业余无线电莫尔斯电报模式通信中汉字报文的发送规定一种易于操作的、不易产生误解的可行编码方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6707AE4" w14:textId="572BFBC0" w:rsidR="002768B2" w:rsidRPr="00C14D22" w:rsidRDefault="002768B2" w:rsidP="002768B2">
            <w:pPr>
              <w:widowControl/>
              <w:jc w:val="center"/>
              <w:rPr>
                <w:rFonts w:ascii="仿宋_GB2312" w:eastAsia="仿宋_GB2312" w:hAnsi="宋体" w:cs="宋体"/>
                <w:kern w:val="0"/>
                <w:szCs w:val="21"/>
              </w:rPr>
            </w:pPr>
          </w:p>
        </w:tc>
      </w:tr>
      <w:tr w:rsidR="002768B2" w:rsidRPr="00450519" w14:paraId="5CBA0C2A" w14:textId="77777777" w:rsidTr="004F42D0">
        <w:trPr>
          <w:trHeight w:val="315"/>
        </w:trPr>
        <w:tc>
          <w:tcPr>
            <w:tcW w:w="720" w:type="dxa"/>
            <w:tcBorders>
              <w:top w:val="nil"/>
              <w:left w:val="single" w:sz="8" w:space="0" w:color="auto"/>
              <w:bottom w:val="single" w:sz="8" w:space="0" w:color="auto"/>
              <w:right w:val="single" w:sz="8" w:space="0" w:color="auto"/>
            </w:tcBorders>
            <w:shd w:val="clear" w:color="auto" w:fill="auto"/>
            <w:vAlign w:val="center"/>
            <w:hideMark/>
          </w:tcPr>
          <w:p w14:paraId="77650B10" w14:textId="77777777" w:rsidR="002768B2" w:rsidRPr="00C14D22" w:rsidRDefault="002768B2" w:rsidP="002768B2">
            <w:pPr>
              <w:widowControl/>
              <w:jc w:val="center"/>
              <w:rPr>
                <w:rFonts w:ascii="宋体" w:hAnsi="宋体" w:cs="宋体"/>
                <w:kern w:val="0"/>
                <w:szCs w:val="21"/>
              </w:rPr>
            </w:pPr>
            <w:r w:rsidRPr="00C14D22">
              <w:rPr>
                <w:rFonts w:ascii="宋体" w:hAnsi="宋体" w:cs="宋体"/>
                <w:kern w:val="0"/>
                <w:szCs w:val="21"/>
              </w:rPr>
              <w:t>6</w:t>
            </w:r>
          </w:p>
        </w:tc>
        <w:tc>
          <w:tcPr>
            <w:tcW w:w="1538" w:type="dxa"/>
            <w:tcBorders>
              <w:top w:val="single" w:sz="8" w:space="0" w:color="auto"/>
              <w:left w:val="nil"/>
              <w:bottom w:val="single" w:sz="8" w:space="0" w:color="auto"/>
              <w:right w:val="nil"/>
            </w:tcBorders>
            <w:shd w:val="clear" w:color="auto" w:fill="auto"/>
            <w:vAlign w:val="center"/>
            <w:hideMark/>
          </w:tcPr>
          <w:p w14:paraId="7A665115" w14:textId="0A9A629B" w:rsidR="002768B2" w:rsidRPr="00C14D22" w:rsidRDefault="002768B2" w:rsidP="002768B2">
            <w:pPr>
              <w:widowControl/>
              <w:jc w:val="center"/>
              <w:rPr>
                <w:rFonts w:ascii="仿宋_GB2312" w:eastAsia="仿宋_GB2312" w:hAnsi="宋体" w:cs="宋体"/>
                <w:kern w:val="0"/>
                <w:szCs w:val="21"/>
              </w:rPr>
            </w:pPr>
            <w:r w:rsidRPr="00C14D22">
              <w:rPr>
                <w:rFonts w:ascii="仿宋_GB2312" w:eastAsia="仿宋_GB2312" w:hAnsi="宋体" w:cs="宋体"/>
                <w:kern w:val="0"/>
                <w:szCs w:val="21"/>
              </w:rPr>
              <w:t>T/RAC 0</w:t>
            </w:r>
            <w:r>
              <w:rPr>
                <w:rFonts w:ascii="仿宋_GB2312" w:eastAsia="仿宋_GB2312" w:hAnsi="宋体" w:cs="宋体"/>
                <w:kern w:val="0"/>
                <w:szCs w:val="21"/>
              </w:rPr>
              <w:t>21</w:t>
            </w:r>
            <w:r w:rsidRPr="00C14D22">
              <w:rPr>
                <w:rFonts w:ascii="仿宋_GB2312" w:eastAsia="仿宋_GB2312" w:hAnsi="宋体" w:cs="宋体"/>
                <w:kern w:val="0"/>
                <w:szCs w:val="21"/>
              </w:rPr>
              <w:t>-201</w:t>
            </w:r>
            <w:r>
              <w:rPr>
                <w:rFonts w:ascii="仿宋_GB2312" w:eastAsia="仿宋_GB2312" w:hAnsi="宋体" w:cs="宋体"/>
                <w:kern w:val="0"/>
                <w:szCs w:val="21"/>
              </w:rPr>
              <w:t>9</w:t>
            </w:r>
          </w:p>
        </w:tc>
        <w:tc>
          <w:tcPr>
            <w:tcW w:w="2342" w:type="dxa"/>
            <w:tcBorders>
              <w:top w:val="single" w:sz="8" w:space="0" w:color="auto"/>
              <w:left w:val="single" w:sz="8" w:space="0" w:color="auto"/>
              <w:bottom w:val="single" w:sz="8" w:space="0" w:color="auto"/>
              <w:right w:val="nil"/>
            </w:tcBorders>
            <w:shd w:val="clear" w:color="auto" w:fill="auto"/>
            <w:vAlign w:val="center"/>
            <w:hideMark/>
          </w:tcPr>
          <w:p w14:paraId="42417E9A" w14:textId="3E819B6C" w:rsidR="002768B2" w:rsidRPr="00C14D22" w:rsidRDefault="002768B2" w:rsidP="005414A4">
            <w:pPr>
              <w:widowControl/>
              <w:jc w:val="left"/>
              <w:rPr>
                <w:rFonts w:ascii="仿宋_GB2312" w:eastAsia="仿宋_GB2312" w:hAnsi="宋体" w:cs="宋体"/>
                <w:kern w:val="0"/>
                <w:szCs w:val="21"/>
              </w:rPr>
            </w:pPr>
            <w:r w:rsidRPr="00450519">
              <w:rPr>
                <w:rFonts w:ascii="仿宋_GB2312" w:eastAsia="仿宋_GB2312" w:hAnsi="宋体" w:cs="宋体" w:hint="eastAsia"/>
                <w:kern w:val="0"/>
                <w:szCs w:val="21"/>
              </w:rPr>
              <w:t>无线电监测接收机维修与报废技术要求及测试方法</w:t>
            </w:r>
          </w:p>
        </w:tc>
        <w:tc>
          <w:tcPr>
            <w:tcW w:w="7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A2AA0B" w14:textId="69F1EBCF" w:rsidR="002768B2" w:rsidRPr="00C14D22" w:rsidRDefault="002768B2" w:rsidP="00450519">
            <w:pPr>
              <w:widowControl/>
              <w:jc w:val="left"/>
              <w:rPr>
                <w:rFonts w:ascii="仿宋_GB2312" w:eastAsia="仿宋_GB2312" w:hAnsi="宋体" w:cs="宋体"/>
                <w:kern w:val="0"/>
                <w:szCs w:val="21"/>
              </w:rPr>
            </w:pPr>
            <w:r w:rsidRPr="00450519">
              <w:rPr>
                <w:rFonts w:ascii="仿宋_GB2312" w:eastAsia="仿宋_GB2312" w:hAnsi="宋体" w:cs="宋体" w:hint="eastAsia"/>
                <w:kern w:val="0"/>
                <w:szCs w:val="21"/>
              </w:rPr>
              <w:t>本标准适用于无线电监测接收机，可作为无线电监测接收机的维修与报废的相关要求。</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18454E7" w14:textId="4D65EBF6" w:rsidR="002768B2" w:rsidRPr="00C14D22" w:rsidRDefault="002768B2" w:rsidP="002768B2">
            <w:pPr>
              <w:widowControl/>
              <w:jc w:val="center"/>
              <w:rPr>
                <w:rFonts w:ascii="仿宋_GB2312" w:eastAsia="仿宋_GB2312" w:hAnsi="宋体" w:cs="宋体"/>
                <w:kern w:val="0"/>
                <w:szCs w:val="21"/>
              </w:rPr>
            </w:pPr>
          </w:p>
        </w:tc>
      </w:tr>
      <w:tr w:rsidR="004F42D0" w:rsidRPr="00C14D22" w14:paraId="7CA983E4" w14:textId="77777777" w:rsidTr="00361AA1">
        <w:trPr>
          <w:trHeight w:val="366"/>
        </w:trPr>
        <w:tc>
          <w:tcPr>
            <w:tcW w:w="13457"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14:paraId="67DF4D68" w14:textId="77777777" w:rsidR="004F42D0" w:rsidRPr="00C14D22" w:rsidRDefault="004F42D0" w:rsidP="00361AA1">
            <w:pPr>
              <w:widowControl/>
              <w:jc w:val="left"/>
              <w:rPr>
                <w:rFonts w:ascii="仿宋_GB2312" w:eastAsia="仿宋_GB2312" w:hAnsi="宋体" w:cs="宋体"/>
                <w:kern w:val="0"/>
                <w:szCs w:val="21"/>
              </w:rPr>
            </w:pPr>
            <w:r w:rsidRPr="00C14D22">
              <w:rPr>
                <w:rFonts w:ascii="宋体" w:hAnsi="宋体" w:cs="宋体" w:hint="eastAsia"/>
                <w:kern w:val="0"/>
                <w:szCs w:val="21"/>
              </w:rPr>
              <w:t>备</w:t>
            </w:r>
            <w:r w:rsidRPr="00C14D22">
              <w:rPr>
                <w:rFonts w:ascii="仿宋_GB2312" w:eastAsia="仿宋_GB2312" w:hAnsi="宋体" w:cs="宋体" w:hint="eastAsia"/>
                <w:kern w:val="0"/>
                <w:szCs w:val="21"/>
              </w:rPr>
              <w:t>注：</w:t>
            </w:r>
          </w:p>
        </w:tc>
      </w:tr>
      <w:tr w:rsidR="004F42D0" w:rsidRPr="00C14D22" w14:paraId="3ED4A511" w14:textId="77777777" w:rsidTr="00361AA1">
        <w:trPr>
          <w:trHeight w:val="270"/>
        </w:trPr>
        <w:tc>
          <w:tcPr>
            <w:tcW w:w="13457" w:type="dxa"/>
            <w:gridSpan w:val="5"/>
            <w:vMerge/>
            <w:tcBorders>
              <w:top w:val="single" w:sz="8" w:space="0" w:color="auto"/>
              <w:left w:val="single" w:sz="8" w:space="0" w:color="auto"/>
              <w:bottom w:val="single" w:sz="8" w:space="0" w:color="000000"/>
              <w:right w:val="single" w:sz="8" w:space="0" w:color="000000"/>
            </w:tcBorders>
            <w:vAlign w:val="center"/>
            <w:hideMark/>
          </w:tcPr>
          <w:p w14:paraId="0E35BE5D" w14:textId="77777777" w:rsidR="004F42D0" w:rsidRPr="00C14D22" w:rsidRDefault="004F42D0" w:rsidP="00361AA1">
            <w:pPr>
              <w:widowControl/>
              <w:jc w:val="left"/>
              <w:rPr>
                <w:rFonts w:ascii="仿宋_GB2312" w:eastAsia="仿宋_GB2312" w:hAnsi="宋体" w:cs="宋体"/>
                <w:kern w:val="0"/>
                <w:szCs w:val="21"/>
              </w:rPr>
            </w:pPr>
          </w:p>
        </w:tc>
      </w:tr>
      <w:tr w:rsidR="004F42D0" w:rsidRPr="00C14D22" w14:paraId="2459BF9B" w14:textId="77777777" w:rsidTr="00361AA1">
        <w:trPr>
          <w:trHeight w:val="270"/>
        </w:trPr>
        <w:tc>
          <w:tcPr>
            <w:tcW w:w="13457" w:type="dxa"/>
            <w:gridSpan w:val="5"/>
            <w:vMerge/>
            <w:tcBorders>
              <w:top w:val="single" w:sz="8" w:space="0" w:color="auto"/>
              <w:left w:val="single" w:sz="8" w:space="0" w:color="auto"/>
              <w:bottom w:val="single" w:sz="8" w:space="0" w:color="000000"/>
              <w:right w:val="single" w:sz="8" w:space="0" w:color="000000"/>
            </w:tcBorders>
            <w:vAlign w:val="center"/>
            <w:hideMark/>
          </w:tcPr>
          <w:p w14:paraId="7ECD4840" w14:textId="77777777" w:rsidR="004F42D0" w:rsidRPr="00C14D22" w:rsidRDefault="004F42D0" w:rsidP="00361AA1">
            <w:pPr>
              <w:widowControl/>
              <w:jc w:val="left"/>
              <w:rPr>
                <w:rFonts w:ascii="仿宋_GB2312" w:eastAsia="仿宋_GB2312" w:hAnsi="宋体" w:cs="宋体"/>
                <w:kern w:val="0"/>
                <w:szCs w:val="21"/>
              </w:rPr>
            </w:pPr>
          </w:p>
        </w:tc>
      </w:tr>
      <w:tr w:rsidR="004F42D0" w:rsidRPr="00C14D22" w14:paraId="1AC0369B" w14:textId="77777777" w:rsidTr="00361AA1">
        <w:trPr>
          <w:trHeight w:val="285"/>
        </w:trPr>
        <w:tc>
          <w:tcPr>
            <w:tcW w:w="13457" w:type="dxa"/>
            <w:gridSpan w:val="5"/>
            <w:vMerge/>
            <w:tcBorders>
              <w:top w:val="single" w:sz="8" w:space="0" w:color="auto"/>
              <w:left w:val="single" w:sz="8" w:space="0" w:color="auto"/>
              <w:bottom w:val="single" w:sz="8" w:space="0" w:color="000000"/>
              <w:right w:val="single" w:sz="8" w:space="0" w:color="000000"/>
            </w:tcBorders>
            <w:vAlign w:val="center"/>
            <w:hideMark/>
          </w:tcPr>
          <w:p w14:paraId="221856A2" w14:textId="77777777" w:rsidR="004F42D0" w:rsidRPr="00C14D22" w:rsidRDefault="004F42D0" w:rsidP="00361AA1">
            <w:pPr>
              <w:widowControl/>
              <w:jc w:val="left"/>
              <w:rPr>
                <w:rFonts w:ascii="仿宋_GB2312" w:eastAsia="仿宋_GB2312" w:hAnsi="宋体" w:cs="宋体"/>
                <w:kern w:val="0"/>
                <w:szCs w:val="21"/>
              </w:rPr>
            </w:pPr>
          </w:p>
        </w:tc>
      </w:tr>
    </w:tbl>
    <w:p w14:paraId="5AFBA329" w14:textId="54C61CAD" w:rsidR="004F42D0" w:rsidRDefault="004F42D0" w:rsidP="004F42D0">
      <w:pPr>
        <w:rPr>
          <w:rFonts w:ascii="Times New Roman" w:eastAsia="仿宋_GB2312" w:hAnsi="Times New Roman"/>
          <w:szCs w:val="21"/>
        </w:rPr>
      </w:pPr>
      <w:r>
        <w:rPr>
          <w:rFonts w:ascii="Times New Roman" w:eastAsia="仿宋_GB2312" w:hAnsi="Times New Roman" w:hint="eastAsia"/>
          <w:szCs w:val="21"/>
        </w:rPr>
        <w:t>联系人：吴临风</w:t>
      </w:r>
      <w:r w:rsidR="00261982">
        <w:rPr>
          <w:rFonts w:ascii="Times New Roman" w:eastAsia="仿宋_GB2312" w:hAnsi="Times New Roman"/>
          <w:szCs w:val="21"/>
        </w:rPr>
        <w:t xml:space="preserve"> </w:t>
      </w:r>
      <w:r w:rsidR="00261982">
        <w:rPr>
          <w:rFonts w:ascii="Times New Roman" w:eastAsia="仿宋_GB2312" w:hAnsi="Times New Roman" w:hint="eastAsia"/>
          <w:szCs w:val="21"/>
        </w:rPr>
        <w:t>叶之伊</w:t>
      </w:r>
      <w:r>
        <w:rPr>
          <w:rFonts w:ascii="Times New Roman" w:eastAsia="仿宋_GB2312" w:hAnsi="Times New Roman"/>
          <w:szCs w:val="21"/>
        </w:rPr>
        <w:t xml:space="preserve">                                 </w:t>
      </w:r>
      <w:r w:rsidR="00261982">
        <w:rPr>
          <w:rFonts w:ascii="Times New Roman" w:eastAsia="仿宋_GB2312" w:hAnsi="Times New Roman"/>
          <w:szCs w:val="21"/>
        </w:rPr>
        <w:t xml:space="preserve"> </w:t>
      </w:r>
      <w:r>
        <w:rPr>
          <w:rFonts w:ascii="Times New Roman" w:eastAsia="仿宋_GB2312" w:hAnsi="Times New Roman"/>
          <w:szCs w:val="21"/>
        </w:rPr>
        <w:t xml:space="preserve">           </w:t>
      </w:r>
      <w:r>
        <w:rPr>
          <w:rFonts w:ascii="Times New Roman" w:eastAsia="仿宋_GB2312" w:hAnsi="Times New Roman" w:hint="eastAsia"/>
          <w:szCs w:val="21"/>
        </w:rPr>
        <w:t>联系电话：</w:t>
      </w:r>
      <w:r>
        <w:rPr>
          <w:rFonts w:ascii="Times New Roman" w:eastAsia="仿宋_GB2312" w:hAnsi="Times New Roman"/>
          <w:szCs w:val="21"/>
        </w:rPr>
        <w:t>010-68008724</w:t>
      </w:r>
      <w:r w:rsidR="00261982">
        <w:rPr>
          <w:rFonts w:ascii="Times New Roman" w:eastAsia="仿宋_GB2312" w:hAnsi="Times New Roman"/>
          <w:szCs w:val="21"/>
        </w:rPr>
        <w:t>/68008714</w:t>
      </w:r>
    </w:p>
    <w:p w14:paraId="6628DACB" w14:textId="0893B0EA" w:rsidR="00892A42" w:rsidRPr="005F2849" w:rsidRDefault="004F42D0" w:rsidP="00E64DC3">
      <w:pPr>
        <w:jc w:val="left"/>
        <w:rPr>
          <w:rFonts w:ascii="Times New Roman" w:hAnsi="Times New Roman" w:hint="eastAsia"/>
          <w:sz w:val="2"/>
        </w:rPr>
        <w:sectPr w:rsidR="00892A42" w:rsidRPr="005F2849" w:rsidSect="00004ACF">
          <w:footerReference w:type="default" r:id="rId7"/>
          <w:pgSz w:w="16838" w:h="11906" w:orient="landscape"/>
          <w:pgMar w:top="1797" w:right="1440" w:bottom="1797" w:left="1440" w:header="851" w:footer="992" w:gutter="0"/>
          <w:cols w:space="425"/>
          <w:docGrid w:linePitch="312"/>
        </w:sectPr>
      </w:pPr>
      <w:r w:rsidRPr="006E2ACA">
        <w:rPr>
          <w:rFonts w:ascii="Times New Roman" w:eastAsia="仿宋_GB2312" w:hAnsi="Times New Roman"/>
          <w:spacing w:val="11"/>
          <w:kern w:val="0"/>
          <w:szCs w:val="21"/>
          <w:fitText w:val="630" w:id="1989894656"/>
        </w:rPr>
        <w:t>E-mai</w:t>
      </w:r>
      <w:r w:rsidRPr="006E2ACA">
        <w:rPr>
          <w:rFonts w:ascii="Times New Roman" w:eastAsia="仿宋_GB2312" w:hAnsi="Times New Roman"/>
          <w:spacing w:val="4"/>
          <w:kern w:val="0"/>
          <w:szCs w:val="21"/>
          <w:fitText w:val="630" w:id="1989894656"/>
        </w:rPr>
        <w:t>l</w:t>
      </w:r>
      <w:r>
        <w:rPr>
          <w:rFonts w:ascii="Times New Roman" w:eastAsia="仿宋_GB2312" w:hAnsi="Times New Roman" w:hint="eastAsia"/>
          <w:szCs w:val="21"/>
        </w:rPr>
        <w:t>：</w:t>
      </w:r>
      <w:bookmarkStart w:id="0" w:name="_GoBack"/>
      <w:bookmarkEnd w:id="0"/>
      <w:r>
        <w:rPr>
          <w:rFonts w:ascii="Times New Roman" w:eastAsia="仿宋_GB2312" w:hAnsi="Times New Roman"/>
          <w:szCs w:val="21"/>
        </w:rPr>
        <w:t xml:space="preserve">trac@rachina.org.cn                                          </w:t>
      </w:r>
      <w:r>
        <w:rPr>
          <w:rFonts w:ascii="Times New Roman" w:eastAsia="仿宋_GB2312" w:hAnsi="Times New Roman" w:hint="eastAsia"/>
          <w:szCs w:val="21"/>
        </w:rPr>
        <w:t>传</w:t>
      </w:r>
      <w:r>
        <w:rPr>
          <w:rFonts w:ascii="Times New Roman" w:eastAsia="仿宋_GB2312" w:hAnsi="Times New Roman"/>
          <w:szCs w:val="21"/>
        </w:rPr>
        <w:t xml:space="preserve">    </w:t>
      </w:r>
      <w:r>
        <w:rPr>
          <w:rFonts w:ascii="Times New Roman" w:eastAsia="仿宋_GB2312" w:hAnsi="Times New Roman" w:hint="eastAsia"/>
          <w:szCs w:val="21"/>
        </w:rPr>
        <w:t>真：</w:t>
      </w:r>
      <w:r>
        <w:rPr>
          <w:rFonts w:ascii="Times New Roman" w:eastAsia="仿宋_GB2312" w:hAnsi="Times New Roman"/>
          <w:szCs w:val="21"/>
        </w:rPr>
        <w:t>010-68008749</w:t>
      </w:r>
    </w:p>
    <w:p w14:paraId="5A5DC9EC" w14:textId="77777777" w:rsidR="005F378E" w:rsidRPr="005F2849" w:rsidRDefault="005F378E" w:rsidP="005F2849">
      <w:pPr>
        <w:jc w:val="left"/>
      </w:pPr>
    </w:p>
    <w:sectPr w:rsidR="005F378E" w:rsidRPr="005F2849" w:rsidSect="00004ACF">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F2097" w14:textId="77777777" w:rsidR="00AD68E1" w:rsidRDefault="00AD68E1" w:rsidP="001F23EE">
      <w:r>
        <w:separator/>
      </w:r>
    </w:p>
  </w:endnote>
  <w:endnote w:type="continuationSeparator" w:id="0">
    <w:p w14:paraId="21B7D44A" w14:textId="77777777" w:rsidR="00AD68E1" w:rsidRDefault="00AD68E1" w:rsidP="001F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786724"/>
      <w:docPartObj>
        <w:docPartGallery w:val="Page Numbers (Bottom of Page)"/>
        <w:docPartUnique/>
      </w:docPartObj>
    </w:sdtPr>
    <w:sdtEndPr/>
    <w:sdtContent>
      <w:p w14:paraId="55F72472" w14:textId="77777777" w:rsidR="001F23EE" w:rsidRDefault="00AD68E1">
        <w:pPr>
          <w:pStyle w:val="a5"/>
          <w:jc w:val="right"/>
        </w:pPr>
      </w:p>
    </w:sdtContent>
  </w:sdt>
  <w:p w14:paraId="053E1072" w14:textId="77777777" w:rsidR="001F23EE" w:rsidRDefault="001F23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11B78" w14:textId="77777777" w:rsidR="00AD68E1" w:rsidRDefault="00AD68E1" w:rsidP="001F23EE">
      <w:r>
        <w:separator/>
      </w:r>
    </w:p>
  </w:footnote>
  <w:footnote w:type="continuationSeparator" w:id="0">
    <w:p w14:paraId="1BCD8DB0" w14:textId="77777777" w:rsidR="00AD68E1" w:rsidRDefault="00AD68E1" w:rsidP="001F2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12"/>
    <w:rsid w:val="00004ACF"/>
    <w:rsid w:val="000C0E1D"/>
    <w:rsid w:val="0011284F"/>
    <w:rsid w:val="0013607B"/>
    <w:rsid w:val="00174E6A"/>
    <w:rsid w:val="001F23EE"/>
    <w:rsid w:val="00200023"/>
    <w:rsid w:val="00223BEB"/>
    <w:rsid w:val="0024344D"/>
    <w:rsid w:val="00261982"/>
    <w:rsid w:val="002768B2"/>
    <w:rsid w:val="002B2705"/>
    <w:rsid w:val="002E2612"/>
    <w:rsid w:val="0036715D"/>
    <w:rsid w:val="003B137A"/>
    <w:rsid w:val="003F4EB8"/>
    <w:rsid w:val="00450519"/>
    <w:rsid w:val="004C305E"/>
    <w:rsid w:val="004F42D0"/>
    <w:rsid w:val="005414A4"/>
    <w:rsid w:val="0055792F"/>
    <w:rsid w:val="00560FD7"/>
    <w:rsid w:val="005F2849"/>
    <w:rsid w:val="005F378E"/>
    <w:rsid w:val="00621B22"/>
    <w:rsid w:val="0063797F"/>
    <w:rsid w:val="00644766"/>
    <w:rsid w:val="006E2ACA"/>
    <w:rsid w:val="007D2CA8"/>
    <w:rsid w:val="00892A42"/>
    <w:rsid w:val="00965F8D"/>
    <w:rsid w:val="00A7467C"/>
    <w:rsid w:val="00AD68E1"/>
    <w:rsid w:val="00AD7236"/>
    <w:rsid w:val="00C04D45"/>
    <w:rsid w:val="00C14D22"/>
    <w:rsid w:val="00C3114B"/>
    <w:rsid w:val="00C73074"/>
    <w:rsid w:val="00C819FE"/>
    <w:rsid w:val="00D379A7"/>
    <w:rsid w:val="00D40169"/>
    <w:rsid w:val="00D72561"/>
    <w:rsid w:val="00D934B9"/>
    <w:rsid w:val="00DB3A5B"/>
    <w:rsid w:val="00DC1F1E"/>
    <w:rsid w:val="00E314A2"/>
    <w:rsid w:val="00E60228"/>
    <w:rsid w:val="00E64DC3"/>
    <w:rsid w:val="00E83C0B"/>
    <w:rsid w:val="00EC3424"/>
    <w:rsid w:val="00F03B81"/>
    <w:rsid w:val="00F90ABE"/>
    <w:rsid w:val="00FB0134"/>
    <w:rsid w:val="00FD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A8DB7"/>
  <w15:chartTrackingRefBased/>
  <w15:docId w15:val="{18963C1E-4455-436B-8E0E-72E111D3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3E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3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F23EE"/>
    <w:rPr>
      <w:sz w:val="18"/>
      <w:szCs w:val="18"/>
    </w:rPr>
  </w:style>
  <w:style w:type="paragraph" w:styleId="a5">
    <w:name w:val="footer"/>
    <w:basedOn w:val="a"/>
    <w:link w:val="a6"/>
    <w:uiPriority w:val="99"/>
    <w:unhideWhenUsed/>
    <w:rsid w:val="001F23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F23EE"/>
    <w:rPr>
      <w:sz w:val="18"/>
      <w:szCs w:val="18"/>
    </w:rPr>
  </w:style>
  <w:style w:type="table" w:styleId="a7">
    <w:name w:val="Table Grid"/>
    <w:basedOn w:val="a1"/>
    <w:uiPriority w:val="59"/>
    <w:rsid w:val="00E64D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83C0B"/>
    <w:rPr>
      <w:sz w:val="18"/>
      <w:szCs w:val="18"/>
    </w:rPr>
  </w:style>
  <w:style w:type="character" w:customStyle="1" w:styleId="a9">
    <w:name w:val="批注框文本 字符"/>
    <w:basedOn w:val="a0"/>
    <w:link w:val="a8"/>
    <w:uiPriority w:val="99"/>
    <w:semiHidden/>
    <w:rsid w:val="00E83C0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20500">
      <w:bodyDiv w:val="1"/>
      <w:marLeft w:val="0"/>
      <w:marRight w:val="0"/>
      <w:marTop w:val="0"/>
      <w:marBottom w:val="0"/>
      <w:divBdr>
        <w:top w:val="none" w:sz="0" w:space="0" w:color="auto"/>
        <w:left w:val="none" w:sz="0" w:space="0" w:color="auto"/>
        <w:bottom w:val="none" w:sz="0" w:space="0" w:color="auto"/>
        <w:right w:val="none" w:sz="0" w:space="0" w:color="auto"/>
      </w:divBdr>
    </w:div>
    <w:div w:id="362291354">
      <w:bodyDiv w:val="1"/>
      <w:marLeft w:val="0"/>
      <w:marRight w:val="0"/>
      <w:marTop w:val="0"/>
      <w:marBottom w:val="0"/>
      <w:divBdr>
        <w:top w:val="none" w:sz="0" w:space="0" w:color="auto"/>
        <w:left w:val="none" w:sz="0" w:space="0" w:color="auto"/>
        <w:bottom w:val="none" w:sz="0" w:space="0" w:color="auto"/>
        <w:right w:val="none" w:sz="0" w:space="0" w:color="auto"/>
      </w:divBdr>
    </w:div>
    <w:div w:id="489979257">
      <w:bodyDiv w:val="1"/>
      <w:marLeft w:val="0"/>
      <w:marRight w:val="0"/>
      <w:marTop w:val="0"/>
      <w:marBottom w:val="0"/>
      <w:divBdr>
        <w:top w:val="none" w:sz="0" w:space="0" w:color="auto"/>
        <w:left w:val="none" w:sz="0" w:space="0" w:color="auto"/>
        <w:bottom w:val="none" w:sz="0" w:space="0" w:color="auto"/>
        <w:right w:val="none" w:sz="0" w:space="0" w:color="auto"/>
      </w:divBdr>
    </w:div>
    <w:div w:id="560212295">
      <w:bodyDiv w:val="1"/>
      <w:marLeft w:val="0"/>
      <w:marRight w:val="0"/>
      <w:marTop w:val="0"/>
      <w:marBottom w:val="0"/>
      <w:divBdr>
        <w:top w:val="none" w:sz="0" w:space="0" w:color="auto"/>
        <w:left w:val="none" w:sz="0" w:space="0" w:color="auto"/>
        <w:bottom w:val="none" w:sz="0" w:space="0" w:color="auto"/>
        <w:right w:val="none" w:sz="0" w:space="0" w:color="auto"/>
      </w:divBdr>
    </w:div>
    <w:div w:id="613681340">
      <w:bodyDiv w:val="1"/>
      <w:marLeft w:val="0"/>
      <w:marRight w:val="0"/>
      <w:marTop w:val="0"/>
      <w:marBottom w:val="0"/>
      <w:divBdr>
        <w:top w:val="none" w:sz="0" w:space="0" w:color="auto"/>
        <w:left w:val="none" w:sz="0" w:space="0" w:color="auto"/>
        <w:bottom w:val="none" w:sz="0" w:space="0" w:color="auto"/>
        <w:right w:val="none" w:sz="0" w:space="0" w:color="auto"/>
      </w:divBdr>
    </w:div>
    <w:div w:id="731393080">
      <w:bodyDiv w:val="1"/>
      <w:marLeft w:val="0"/>
      <w:marRight w:val="0"/>
      <w:marTop w:val="0"/>
      <w:marBottom w:val="0"/>
      <w:divBdr>
        <w:top w:val="none" w:sz="0" w:space="0" w:color="auto"/>
        <w:left w:val="none" w:sz="0" w:space="0" w:color="auto"/>
        <w:bottom w:val="none" w:sz="0" w:space="0" w:color="auto"/>
        <w:right w:val="none" w:sz="0" w:space="0" w:color="auto"/>
      </w:divBdr>
    </w:div>
    <w:div w:id="844826077">
      <w:bodyDiv w:val="1"/>
      <w:marLeft w:val="0"/>
      <w:marRight w:val="0"/>
      <w:marTop w:val="0"/>
      <w:marBottom w:val="0"/>
      <w:divBdr>
        <w:top w:val="none" w:sz="0" w:space="0" w:color="auto"/>
        <w:left w:val="none" w:sz="0" w:space="0" w:color="auto"/>
        <w:bottom w:val="none" w:sz="0" w:space="0" w:color="auto"/>
        <w:right w:val="none" w:sz="0" w:space="0" w:color="auto"/>
      </w:divBdr>
    </w:div>
    <w:div w:id="1097218164">
      <w:bodyDiv w:val="1"/>
      <w:marLeft w:val="0"/>
      <w:marRight w:val="0"/>
      <w:marTop w:val="0"/>
      <w:marBottom w:val="0"/>
      <w:divBdr>
        <w:top w:val="none" w:sz="0" w:space="0" w:color="auto"/>
        <w:left w:val="none" w:sz="0" w:space="0" w:color="auto"/>
        <w:bottom w:val="none" w:sz="0" w:space="0" w:color="auto"/>
        <w:right w:val="none" w:sz="0" w:space="0" w:color="auto"/>
      </w:divBdr>
    </w:div>
    <w:div w:id="1664507380">
      <w:bodyDiv w:val="1"/>
      <w:marLeft w:val="0"/>
      <w:marRight w:val="0"/>
      <w:marTop w:val="0"/>
      <w:marBottom w:val="0"/>
      <w:divBdr>
        <w:top w:val="none" w:sz="0" w:space="0" w:color="auto"/>
        <w:left w:val="none" w:sz="0" w:space="0" w:color="auto"/>
        <w:bottom w:val="none" w:sz="0" w:space="0" w:color="auto"/>
        <w:right w:val="none" w:sz="0" w:space="0" w:color="auto"/>
      </w:divBdr>
    </w:div>
    <w:div w:id="1786735196">
      <w:bodyDiv w:val="1"/>
      <w:marLeft w:val="0"/>
      <w:marRight w:val="0"/>
      <w:marTop w:val="0"/>
      <w:marBottom w:val="0"/>
      <w:divBdr>
        <w:top w:val="none" w:sz="0" w:space="0" w:color="auto"/>
        <w:left w:val="none" w:sz="0" w:space="0" w:color="auto"/>
        <w:bottom w:val="none" w:sz="0" w:space="0" w:color="auto"/>
        <w:right w:val="none" w:sz="0" w:space="0" w:color="auto"/>
      </w:divBdr>
    </w:div>
    <w:div w:id="21341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61C18-E24F-4A86-8B75-E2014477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 浩</dc:creator>
  <cp:keywords/>
  <dc:description/>
  <cp:lastModifiedBy>董 浩</cp:lastModifiedBy>
  <cp:revision>3</cp:revision>
  <cp:lastPrinted>2019-06-19T06:47:00Z</cp:lastPrinted>
  <dcterms:created xsi:type="dcterms:W3CDTF">2019-06-19T08:04:00Z</dcterms:created>
  <dcterms:modified xsi:type="dcterms:W3CDTF">2019-06-19T08:05:00Z</dcterms:modified>
</cp:coreProperties>
</file>